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446F8" w14:textId="32337AED" w:rsidR="00E558B4" w:rsidRDefault="00D044CC" w:rsidP="00E558B4">
      <w:pPr>
        <w:spacing w:after="0"/>
        <w:jc w:val="both"/>
        <w:rPr>
          <w:rFonts w:ascii="Times New Roman" w:hAnsi="Times New Roman" w:cs="Times New Roman"/>
          <w:color w:val="000000"/>
          <w:sz w:val="24"/>
          <w:szCs w:val="24"/>
          <w:shd w:val="clear" w:color="auto" w:fill="FFFFFF"/>
        </w:rPr>
      </w:pPr>
      <w:bookmarkStart w:id="0" w:name="_Hlk209531377"/>
      <w:r w:rsidRPr="00D044CC">
        <w:rPr>
          <w:rFonts w:ascii="Times New Roman" w:hAnsi="Times New Roman" w:cs="Times New Roman"/>
          <w:sz w:val="24"/>
          <w:szCs w:val="24"/>
        </w:rPr>
        <w:t>Рис</w:t>
      </w:r>
      <w:r w:rsidR="00E558B4">
        <w:rPr>
          <w:rFonts w:ascii="Times New Roman" w:hAnsi="Times New Roman" w:cs="Times New Roman"/>
          <w:sz w:val="24"/>
          <w:szCs w:val="24"/>
        </w:rPr>
        <w:t>унок</w:t>
      </w:r>
      <w:r w:rsidRPr="00D044CC">
        <w:rPr>
          <w:rFonts w:ascii="Times New Roman" w:hAnsi="Times New Roman" w:cs="Times New Roman"/>
          <w:sz w:val="24"/>
          <w:szCs w:val="24"/>
        </w:rPr>
        <w:t xml:space="preserve"> 1. а – дизайн исследования; б – </w:t>
      </w:r>
      <w:r w:rsidR="00E558B4" w:rsidRPr="00D044CC">
        <w:rPr>
          <w:rFonts w:ascii="Times New Roman" w:hAnsi="Times New Roman" w:cs="Times New Roman"/>
          <w:color w:val="000000"/>
          <w:sz w:val="24"/>
          <w:szCs w:val="24"/>
          <w:shd w:val="clear" w:color="auto" w:fill="FFFFFF"/>
        </w:rPr>
        <w:t>UMAP</w:t>
      </w:r>
      <w:r w:rsidR="00E558B4">
        <w:rPr>
          <w:rFonts w:ascii="Times New Roman" w:hAnsi="Times New Roman" w:cs="Times New Roman"/>
          <w:color w:val="000000"/>
          <w:sz w:val="24"/>
          <w:szCs w:val="24"/>
          <w:shd w:val="clear" w:color="auto" w:fill="FFFFFF"/>
        </w:rPr>
        <w:t xml:space="preserve"> – график </w:t>
      </w:r>
      <w:r w:rsidR="00E558B4" w:rsidRPr="00D044CC">
        <w:rPr>
          <w:rFonts w:ascii="Times New Roman" w:hAnsi="Times New Roman" w:cs="Times New Roman"/>
          <w:color w:val="000000"/>
          <w:sz w:val="24"/>
          <w:szCs w:val="24"/>
          <w:shd w:val="clear" w:color="auto" w:fill="FFFFFF"/>
        </w:rPr>
        <w:t>идентифицированн</w:t>
      </w:r>
      <w:r w:rsidR="00E558B4">
        <w:rPr>
          <w:rFonts w:ascii="Times New Roman" w:hAnsi="Times New Roman" w:cs="Times New Roman"/>
          <w:color w:val="000000"/>
          <w:sz w:val="24"/>
          <w:szCs w:val="24"/>
          <w:shd w:val="clear" w:color="auto" w:fill="FFFFFF"/>
        </w:rPr>
        <w:t>ых</w:t>
      </w:r>
      <w:r w:rsidRPr="00D044CC">
        <w:rPr>
          <w:rFonts w:ascii="Times New Roman" w:hAnsi="Times New Roman" w:cs="Times New Roman"/>
          <w:color w:val="000000"/>
          <w:sz w:val="24"/>
          <w:szCs w:val="24"/>
          <w:shd w:val="clear" w:color="auto" w:fill="FFFFFF"/>
        </w:rPr>
        <w:t xml:space="preserve"> 16 кластеров</w:t>
      </w:r>
      <w:r w:rsidR="00E558B4">
        <w:rPr>
          <w:rFonts w:ascii="Times New Roman" w:hAnsi="Times New Roman" w:cs="Times New Roman"/>
          <w:color w:val="000000"/>
          <w:sz w:val="24"/>
          <w:szCs w:val="24"/>
          <w:shd w:val="clear" w:color="auto" w:fill="FFFFFF"/>
        </w:rPr>
        <w:t xml:space="preserve"> клеток.</w:t>
      </w:r>
    </w:p>
    <w:bookmarkEnd w:id="0"/>
    <w:p w14:paraId="35CC9888" w14:textId="18ABF747" w:rsidR="00D044CC" w:rsidRPr="00D044CC" w:rsidRDefault="00E558B4" w:rsidP="00E558B4">
      <w:pPr>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Примечание. </w:t>
      </w:r>
      <w:r w:rsidR="00D044CC" w:rsidRPr="00D044CC">
        <w:rPr>
          <w:rFonts w:ascii="Times New Roman" w:hAnsi="Times New Roman" w:cs="Times New Roman"/>
          <w:color w:val="000000"/>
          <w:sz w:val="24"/>
          <w:szCs w:val="24"/>
          <w:shd w:val="clear" w:color="auto" w:fill="FFFFFF"/>
        </w:rPr>
        <w:t>Каждый цвет соответствует отдельному кластеру, а каждая точка — отдельной клетке.</w:t>
      </w:r>
    </w:p>
    <w:p w14:paraId="18CADE80" w14:textId="77777777" w:rsidR="00E558B4" w:rsidRDefault="00E558B4" w:rsidP="00E558B4">
      <w:pPr>
        <w:jc w:val="both"/>
        <w:rPr>
          <w:rFonts w:ascii="Times New Roman" w:hAnsi="Times New Roman" w:cs="Times New Roman"/>
          <w:color w:val="000000"/>
          <w:sz w:val="24"/>
          <w:szCs w:val="24"/>
          <w:shd w:val="clear" w:color="auto" w:fill="FFFFFF"/>
          <w:lang w:val="en-US"/>
        </w:rPr>
      </w:pPr>
    </w:p>
    <w:p w14:paraId="0E62DA2B" w14:textId="0ACD54B9" w:rsidR="00E558B4" w:rsidRPr="00E558B4" w:rsidRDefault="00D044CC" w:rsidP="00E558B4">
      <w:pPr>
        <w:spacing w:after="0"/>
        <w:jc w:val="both"/>
        <w:rPr>
          <w:rFonts w:ascii="Times New Roman" w:hAnsi="Times New Roman" w:cs="Times New Roman"/>
          <w:color w:val="000000"/>
          <w:sz w:val="24"/>
          <w:szCs w:val="24"/>
          <w:shd w:val="clear" w:color="auto" w:fill="FFFFFF"/>
          <w:lang w:val="en-US"/>
        </w:rPr>
      </w:pPr>
      <w:r w:rsidRPr="00D044CC">
        <w:rPr>
          <w:rFonts w:ascii="Times New Roman" w:hAnsi="Times New Roman" w:cs="Times New Roman"/>
          <w:color w:val="000000"/>
          <w:sz w:val="24"/>
          <w:szCs w:val="24"/>
          <w:shd w:val="clear" w:color="auto" w:fill="FFFFFF"/>
          <w:lang w:val="en-US"/>
        </w:rPr>
        <w:t>Fig</w:t>
      </w:r>
      <w:r w:rsidR="00E558B4">
        <w:rPr>
          <w:rFonts w:ascii="Times New Roman" w:hAnsi="Times New Roman" w:cs="Times New Roman"/>
          <w:color w:val="000000"/>
          <w:sz w:val="24"/>
          <w:szCs w:val="24"/>
          <w:shd w:val="clear" w:color="auto" w:fill="FFFFFF"/>
          <w:lang w:val="en-US"/>
        </w:rPr>
        <w:t>ure</w:t>
      </w:r>
      <w:r w:rsidRPr="00D044CC">
        <w:rPr>
          <w:rFonts w:ascii="Times New Roman" w:hAnsi="Times New Roman" w:cs="Times New Roman"/>
          <w:color w:val="000000"/>
          <w:sz w:val="24"/>
          <w:szCs w:val="24"/>
          <w:shd w:val="clear" w:color="auto" w:fill="FFFFFF"/>
          <w:lang w:val="en-US"/>
        </w:rPr>
        <w:t xml:space="preserve">. 1. a – the design of the study; b – </w:t>
      </w:r>
      <w:r w:rsidR="00E558B4" w:rsidRPr="00E558B4">
        <w:rPr>
          <w:rFonts w:ascii="Times New Roman" w:hAnsi="Times New Roman" w:cs="Times New Roman"/>
          <w:color w:val="000000"/>
          <w:sz w:val="24"/>
          <w:szCs w:val="24"/>
          <w:shd w:val="clear" w:color="auto" w:fill="FFFFFF"/>
          <w:lang w:val="en-US"/>
        </w:rPr>
        <w:t>the UMAP graph of the identified 16 cell clusters.</w:t>
      </w:r>
    </w:p>
    <w:p w14:paraId="4C2262BF" w14:textId="01585394" w:rsidR="00D044CC" w:rsidRPr="00D044CC" w:rsidRDefault="00E558B4" w:rsidP="00E558B4">
      <w:pPr>
        <w:spacing w:after="0"/>
        <w:jc w:val="both"/>
        <w:rPr>
          <w:rFonts w:ascii="Times New Roman" w:hAnsi="Times New Roman" w:cs="Times New Roman"/>
          <w:color w:val="000000"/>
          <w:sz w:val="24"/>
          <w:szCs w:val="24"/>
          <w:shd w:val="clear" w:color="auto" w:fill="FFFFFF"/>
          <w:lang w:val="en-US"/>
        </w:rPr>
      </w:pPr>
      <w:r w:rsidRPr="00E558B4">
        <w:rPr>
          <w:rFonts w:ascii="Times New Roman" w:hAnsi="Times New Roman" w:cs="Times New Roman"/>
          <w:color w:val="000000"/>
          <w:sz w:val="24"/>
          <w:szCs w:val="24"/>
          <w:shd w:val="clear" w:color="auto" w:fill="FFFFFF"/>
          <w:lang w:val="en-US"/>
        </w:rPr>
        <w:t>Note. Each color corresponds to a separate cluster, and each dot corresponds to a separate cell.</w:t>
      </w:r>
    </w:p>
    <w:p w14:paraId="2766F794" w14:textId="77777777" w:rsidR="00E558B4" w:rsidRDefault="00E558B4" w:rsidP="00D044CC">
      <w:pPr>
        <w:rPr>
          <w:rFonts w:ascii="Times New Roman" w:hAnsi="Times New Roman" w:cs="Times New Roman"/>
          <w:sz w:val="24"/>
          <w:szCs w:val="24"/>
        </w:rPr>
      </w:pPr>
    </w:p>
    <w:p w14:paraId="1A7C220D" w14:textId="479482B3" w:rsidR="00D044CC" w:rsidRPr="00D044CC" w:rsidRDefault="00D044CC" w:rsidP="00D044CC">
      <w:pPr>
        <w:rPr>
          <w:rFonts w:ascii="Times New Roman" w:hAnsi="Times New Roman" w:cs="Times New Roman"/>
          <w:sz w:val="24"/>
          <w:szCs w:val="24"/>
        </w:rPr>
      </w:pPr>
      <w:bookmarkStart w:id="1" w:name="_Hlk209531352"/>
      <w:r w:rsidRPr="00D044CC">
        <w:rPr>
          <w:rFonts w:ascii="Times New Roman" w:hAnsi="Times New Roman" w:cs="Times New Roman"/>
          <w:sz w:val="24"/>
          <w:szCs w:val="24"/>
        </w:rPr>
        <w:t>Рис</w:t>
      </w:r>
      <w:r w:rsidR="00E558B4">
        <w:rPr>
          <w:rFonts w:ascii="Times New Roman" w:hAnsi="Times New Roman" w:cs="Times New Roman"/>
          <w:sz w:val="24"/>
          <w:szCs w:val="24"/>
        </w:rPr>
        <w:t xml:space="preserve">унок </w:t>
      </w:r>
      <w:r w:rsidRPr="00D044CC">
        <w:rPr>
          <w:rFonts w:ascii="Times New Roman" w:hAnsi="Times New Roman" w:cs="Times New Roman"/>
          <w:sz w:val="24"/>
          <w:szCs w:val="24"/>
        </w:rPr>
        <w:t>2</w:t>
      </w:r>
      <w:r w:rsidR="00E558B4">
        <w:rPr>
          <w:rFonts w:ascii="Times New Roman" w:hAnsi="Times New Roman" w:cs="Times New Roman"/>
          <w:sz w:val="24"/>
          <w:szCs w:val="24"/>
        </w:rPr>
        <w:t>.</w:t>
      </w:r>
      <w:r w:rsidRPr="00D044CC">
        <w:rPr>
          <w:rFonts w:ascii="Times New Roman" w:hAnsi="Times New Roman" w:cs="Times New Roman"/>
          <w:sz w:val="24"/>
          <w:szCs w:val="24"/>
        </w:rPr>
        <w:t xml:space="preserve"> а – UMAP график популяций моноцитов у пациентов с раком простаты. б – соотношение популяций моноцитов у пациентов с раком простаты </w:t>
      </w:r>
    </w:p>
    <w:bookmarkEnd w:id="1"/>
    <w:p w14:paraId="452E3907" w14:textId="330F3AFD" w:rsidR="00601886" w:rsidRPr="00D044CC" w:rsidRDefault="00D044CC" w:rsidP="007E05BA">
      <w:pPr>
        <w:rPr>
          <w:rFonts w:ascii="Times New Roman" w:hAnsi="Times New Roman" w:cs="Times New Roman"/>
          <w:sz w:val="24"/>
          <w:szCs w:val="24"/>
          <w:lang w:val="en-US"/>
        </w:rPr>
      </w:pPr>
      <w:r w:rsidRPr="00D044CC">
        <w:rPr>
          <w:rFonts w:ascii="Times New Roman" w:hAnsi="Times New Roman" w:cs="Times New Roman"/>
          <w:sz w:val="24"/>
          <w:szCs w:val="24"/>
          <w:lang w:val="en-US"/>
        </w:rPr>
        <w:t>Fig</w:t>
      </w:r>
      <w:r w:rsidR="00E558B4">
        <w:rPr>
          <w:rFonts w:ascii="Times New Roman" w:hAnsi="Times New Roman" w:cs="Times New Roman"/>
          <w:color w:val="000000"/>
          <w:sz w:val="24"/>
          <w:szCs w:val="24"/>
          <w:shd w:val="clear" w:color="auto" w:fill="FFFFFF"/>
          <w:lang w:val="en-US"/>
        </w:rPr>
        <w:t>ure</w:t>
      </w:r>
      <w:r w:rsidRPr="00D044CC">
        <w:rPr>
          <w:rFonts w:ascii="Times New Roman" w:hAnsi="Times New Roman" w:cs="Times New Roman"/>
          <w:sz w:val="24"/>
          <w:szCs w:val="24"/>
          <w:lang w:val="en-US"/>
        </w:rPr>
        <w:t xml:space="preserve"> 2. </w:t>
      </w:r>
      <w:r w:rsidRPr="00D044CC">
        <w:rPr>
          <w:rFonts w:ascii="Times New Roman" w:hAnsi="Times New Roman" w:cs="Times New Roman"/>
          <w:sz w:val="24"/>
          <w:szCs w:val="24"/>
        </w:rPr>
        <w:t>а</w:t>
      </w:r>
      <w:r w:rsidRPr="00D044CC">
        <w:rPr>
          <w:rFonts w:ascii="Times New Roman" w:hAnsi="Times New Roman" w:cs="Times New Roman"/>
          <w:sz w:val="24"/>
          <w:szCs w:val="24"/>
          <w:lang w:val="en-US"/>
        </w:rPr>
        <w:t xml:space="preserve"> – UMAP plot of monocyte populations in patients with prostate cancer. </w:t>
      </w:r>
      <w:r w:rsidRPr="00D044CC">
        <w:rPr>
          <w:rFonts w:ascii="Times New Roman" w:hAnsi="Times New Roman" w:cs="Times New Roman"/>
          <w:sz w:val="24"/>
          <w:szCs w:val="24"/>
        </w:rPr>
        <w:t>б</w:t>
      </w:r>
      <w:r w:rsidRPr="00D044CC">
        <w:rPr>
          <w:rFonts w:ascii="Times New Roman" w:hAnsi="Times New Roman" w:cs="Times New Roman"/>
          <w:sz w:val="24"/>
          <w:szCs w:val="24"/>
          <w:lang w:val="en-US"/>
        </w:rPr>
        <w:t xml:space="preserve"> – Proportions of monocyte populations in patients with prostate cancer.</w:t>
      </w:r>
    </w:p>
    <w:p w14:paraId="0026D10E" w14:textId="612E60A4" w:rsidR="007E05BA" w:rsidRPr="00D044CC" w:rsidRDefault="00D2200D">
      <w:pPr>
        <w:rPr>
          <w:rFonts w:ascii="Times New Roman" w:hAnsi="Times New Roman" w:cs="Times New Roman"/>
          <w:sz w:val="24"/>
          <w:szCs w:val="24"/>
          <w:lang w:val="en-US"/>
        </w:rPr>
      </w:pPr>
      <w:r w:rsidRPr="00D044CC">
        <w:rPr>
          <w:rFonts w:ascii="Times New Roman" w:hAnsi="Times New Roman" w:cs="Times New Roman"/>
          <w:noProof/>
          <w:sz w:val="24"/>
          <w:szCs w:val="24"/>
          <w:lang w:val="en-US"/>
        </w:rPr>
        <w:t xml:space="preserve"> </w:t>
      </w:r>
    </w:p>
    <w:p w14:paraId="6309F4CB" w14:textId="1C5CE6CE" w:rsidR="00E558B4" w:rsidRDefault="00345C28" w:rsidP="00345C28">
      <w:pPr>
        <w:rPr>
          <w:rFonts w:ascii="Times New Roman" w:hAnsi="Times New Roman" w:cs="Times New Roman"/>
          <w:sz w:val="24"/>
          <w:szCs w:val="24"/>
        </w:rPr>
      </w:pPr>
      <w:bookmarkStart w:id="2" w:name="_Hlk209531418"/>
      <w:r w:rsidRPr="00D044CC">
        <w:rPr>
          <w:rFonts w:ascii="Times New Roman" w:hAnsi="Times New Roman" w:cs="Times New Roman"/>
          <w:sz w:val="24"/>
          <w:szCs w:val="24"/>
        </w:rPr>
        <w:t>Рис</w:t>
      </w:r>
      <w:r w:rsidR="00E558B4">
        <w:rPr>
          <w:rFonts w:ascii="Times New Roman" w:hAnsi="Times New Roman" w:cs="Times New Roman"/>
          <w:sz w:val="24"/>
          <w:szCs w:val="24"/>
        </w:rPr>
        <w:t>унок</w:t>
      </w:r>
      <w:r w:rsidRPr="00D044CC">
        <w:rPr>
          <w:rFonts w:ascii="Times New Roman" w:hAnsi="Times New Roman" w:cs="Times New Roman"/>
          <w:sz w:val="24"/>
          <w:szCs w:val="24"/>
        </w:rPr>
        <w:t xml:space="preserve"> 3. а – </w:t>
      </w:r>
      <w:r w:rsidR="00E558B4" w:rsidRPr="00E558B4">
        <w:rPr>
          <w:rFonts w:ascii="Times New Roman" w:hAnsi="Times New Roman" w:cs="Times New Roman"/>
          <w:sz w:val="24"/>
          <w:szCs w:val="24"/>
        </w:rPr>
        <w:t>Точечная тепловая карта маркерных генов в кластерах моноцитов.</w:t>
      </w:r>
    </w:p>
    <w:p w14:paraId="448DA33C" w14:textId="77777777" w:rsidR="00E558B4" w:rsidRDefault="00E558B4" w:rsidP="00345C28">
      <w:pPr>
        <w:rPr>
          <w:rFonts w:ascii="Times New Roman" w:hAnsi="Times New Roman" w:cs="Times New Roman"/>
          <w:sz w:val="24"/>
          <w:szCs w:val="24"/>
        </w:rPr>
      </w:pPr>
      <w:r>
        <w:rPr>
          <w:rFonts w:ascii="Times New Roman" w:hAnsi="Times New Roman" w:cs="Times New Roman"/>
          <w:sz w:val="24"/>
          <w:szCs w:val="24"/>
        </w:rPr>
        <w:t>Примечание. Н</w:t>
      </w:r>
      <w:r w:rsidR="00345C28" w:rsidRPr="00D044CC">
        <w:rPr>
          <w:rFonts w:ascii="Times New Roman" w:hAnsi="Times New Roman" w:cs="Times New Roman"/>
          <w:sz w:val="24"/>
          <w:szCs w:val="24"/>
        </w:rPr>
        <w:t xml:space="preserve">а точечной тепловой карте показаны выбранные гены-маркеры для различных кластеров моноцитов. Слева отображены кластеры с соответствующими аннотациями типов клеток. Цветовой градиент отражает средний уровень экспрессии генов, а размер точек указывает на процент клеток в каждом кластере, экспрессирующих эти гены; </w:t>
      </w:r>
    </w:p>
    <w:p w14:paraId="070801DA" w14:textId="525C9359" w:rsidR="00345C28" w:rsidRPr="00D044CC" w:rsidRDefault="00345C28" w:rsidP="00345C28">
      <w:pPr>
        <w:rPr>
          <w:rFonts w:ascii="Times New Roman" w:hAnsi="Times New Roman" w:cs="Times New Roman"/>
          <w:color w:val="000000"/>
          <w:sz w:val="24"/>
          <w:szCs w:val="24"/>
          <w:shd w:val="clear" w:color="auto" w:fill="FFFFFF"/>
        </w:rPr>
      </w:pPr>
      <w:r w:rsidRPr="00D044CC">
        <w:rPr>
          <w:rFonts w:ascii="Times New Roman" w:hAnsi="Times New Roman" w:cs="Times New Roman"/>
          <w:sz w:val="24"/>
          <w:szCs w:val="24"/>
        </w:rPr>
        <w:t xml:space="preserve">б – </w:t>
      </w:r>
      <w:r w:rsidRPr="00D044CC">
        <w:rPr>
          <w:rFonts w:ascii="Times New Roman" w:hAnsi="Times New Roman" w:cs="Times New Roman"/>
          <w:color w:val="000000"/>
          <w:sz w:val="24"/>
          <w:szCs w:val="24"/>
          <w:shd w:val="clear" w:color="auto" w:fill="FFFFFF"/>
        </w:rPr>
        <w:t xml:space="preserve">анализ путей с помощью </w:t>
      </w:r>
      <w:proofErr w:type="spellStart"/>
      <w:r w:rsidRPr="00D044CC">
        <w:rPr>
          <w:rFonts w:ascii="Times New Roman" w:hAnsi="Times New Roman" w:cs="Times New Roman"/>
          <w:color w:val="000000"/>
          <w:sz w:val="24"/>
          <w:szCs w:val="24"/>
          <w:shd w:val="clear" w:color="auto" w:fill="FFFFFF"/>
        </w:rPr>
        <w:t>Enrichr</w:t>
      </w:r>
      <w:proofErr w:type="spellEnd"/>
      <w:r w:rsidRPr="00D044CC">
        <w:rPr>
          <w:rFonts w:ascii="Times New Roman" w:hAnsi="Times New Roman" w:cs="Times New Roman"/>
          <w:color w:val="000000"/>
          <w:sz w:val="24"/>
          <w:szCs w:val="24"/>
          <w:shd w:val="clear" w:color="auto" w:fill="FFFFFF"/>
        </w:rPr>
        <w:t xml:space="preserve"> (набор данных </w:t>
      </w:r>
      <w:r w:rsidRPr="00D044CC">
        <w:rPr>
          <w:rFonts w:ascii="Times New Roman" w:hAnsi="Times New Roman" w:cs="Times New Roman"/>
          <w:color w:val="000000"/>
          <w:sz w:val="24"/>
          <w:szCs w:val="24"/>
          <w:shd w:val="clear" w:color="auto" w:fill="FFFFFF"/>
          <w:lang w:val="en-US"/>
        </w:rPr>
        <w:t>KEGG</w:t>
      </w:r>
      <w:r w:rsidRPr="00D044CC">
        <w:rPr>
          <w:rFonts w:ascii="Times New Roman" w:hAnsi="Times New Roman" w:cs="Times New Roman"/>
          <w:color w:val="000000"/>
          <w:sz w:val="24"/>
          <w:szCs w:val="24"/>
          <w:shd w:val="clear" w:color="auto" w:fill="FFFFFF"/>
        </w:rPr>
        <w:t xml:space="preserve"> и GO </w:t>
      </w:r>
      <w:proofErr w:type="spellStart"/>
      <w:r w:rsidRPr="00D044CC">
        <w:rPr>
          <w:rFonts w:ascii="Times New Roman" w:hAnsi="Times New Roman" w:cs="Times New Roman"/>
          <w:color w:val="000000"/>
          <w:sz w:val="24"/>
          <w:szCs w:val="24"/>
          <w:shd w:val="clear" w:color="auto" w:fill="FFFFFF"/>
        </w:rPr>
        <w:t>Biological</w:t>
      </w:r>
      <w:proofErr w:type="spellEnd"/>
      <w:r w:rsidRPr="00D044CC">
        <w:rPr>
          <w:rFonts w:ascii="Times New Roman" w:hAnsi="Times New Roman" w:cs="Times New Roman"/>
          <w:color w:val="000000"/>
          <w:sz w:val="24"/>
          <w:szCs w:val="24"/>
          <w:shd w:val="clear" w:color="auto" w:fill="FFFFFF"/>
        </w:rPr>
        <w:t xml:space="preserve"> Process) в </w:t>
      </w:r>
      <w:proofErr w:type="spellStart"/>
      <w:proofErr w:type="gramStart"/>
      <w:r w:rsidRPr="00D044CC">
        <w:rPr>
          <w:rFonts w:ascii="Times New Roman" w:hAnsi="Times New Roman" w:cs="Times New Roman"/>
          <w:color w:val="000000"/>
          <w:sz w:val="24"/>
          <w:szCs w:val="24"/>
          <w:shd w:val="clear" w:color="auto" w:fill="FFFFFF"/>
        </w:rPr>
        <w:t>субпопуляциях</w:t>
      </w:r>
      <w:proofErr w:type="spellEnd"/>
      <w:r w:rsidRPr="00D044CC">
        <w:rPr>
          <w:rFonts w:ascii="Times New Roman" w:hAnsi="Times New Roman" w:cs="Times New Roman"/>
          <w:color w:val="000000"/>
          <w:sz w:val="24"/>
          <w:szCs w:val="24"/>
          <w:shd w:val="clear" w:color="auto" w:fill="FFFFFF"/>
        </w:rPr>
        <w:t xml:space="preserve"> </w:t>
      </w:r>
      <w:r w:rsidRPr="00D044CC">
        <w:rPr>
          <w:rFonts w:ascii="Times New Roman" w:hAnsi="Times New Roman" w:cs="Times New Roman"/>
          <w:sz w:val="24"/>
          <w:szCs w:val="24"/>
        </w:rPr>
        <w:t xml:space="preserve"> классических</w:t>
      </w:r>
      <w:proofErr w:type="gramEnd"/>
      <w:r w:rsidR="00D2200D" w:rsidRPr="00D044CC">
        <w:rPr>
          <w:rFonts w:ascii="Times New Roman" w:hAnsi="Times New Roman" w:cs="Times New Roman"/>
          <w:sz w:val="24"/>
          <w:szCs w:val="24"/>
        </w:rPr>
        <w:t xml:space="preserve">, </w:t>
      </w:r>
      <w:r w:rsidRPr="00D044CC">
        <w:rPr>
          <w:rFonts w:ascii="Times New Roman" w:hAnsi="Times New Roman" w:cs="Times New Roman"/>
          <w:sz w:val="24"/>
          <w:szCs w:val="24"/>
        </w:rPr>
        <w:t xml:space="preserve">неклассических </w:t>
      </w:r>
      <w:r w:rsidR="00D2200D" w:rsidRPr="00D044CC">
        <w:rPr>
          <w:rFonts w:ascii="Times New Roman" w:hAnsi="Times New Roman" w:cs="Times New Roman"/>
          <w:sz w:val="24"/>
          <w:szCs w:val="24"/>
        </w:rPr>
        <w:t>и</w:t>
      </w:r>
      <w:r w:rsidRPr="00D044CC">
        <w:rPr>
          <w:rFonts w:ascii="Times New Roman" w:hAnsi="Times New Roman" w:cs="Times New Roman"/>
          <w:sz w:val="24"/>
          <w:szCs w:val="24"/>
        </w:rPr>
        <w:t xml:space="preserve"> промежуточных моноцитов</w:t>
      </w:r>
      <w:r w:rsidRPr="00D044CC">
        <w:rPr>
          <w:rFonts w:ascii="Times New Roman" w:hAnsi="Times New Roman" w:cs="Times New Roman"/>
          <w:color w:val="000000"/>
          <w:sz w:val="24"/>
          <w:szCs w:val="24"/>
          <w:shd w:val="clear" w:color="auto" w:fill="FFFFFF"/>
        </w:rPr>
        <w:t xml:space="preserve"> при раке предстательной железы</w:t>
      </w:r>
      <w:r w:rsidR="00E558B4">
        <w:rPr>
          <w:rFonts w:ascii="Times New Roman" w:hAnsi="Times New Roman" w:cs="Times New Roman"/>
          <w:color w:val="000000"/>
          <w:sz w:val="24"/>
          <w:szCs w:val="24"/>
          <w:shd w:val="clear" w:color="auto" w:fill="FFFFFF"/>
        </w:rPr>
        <w:t>.</w:t>
      </w:r>
    </w:p>
    <w:bookmarkEnd w:id="2"/>
    <w:p w14:paraId="2277CB4B" w14:textId="30EECF00" w:rsidR="00E558B4" w:rsidRDefault="00BC161F" w:rsidP="00345C28">
      <w:pPr>
        <w:rPr>
          <w:rFonts w:ascii="Times New Roman" w:hAnsi="Times New Roman" w:cs="Times New Roman"/>
          <w:sz w:val="24"/>
          <w:szCs w:val="24"/>
          <w:lang w:val="en-US"/>
        </w:rPr>
      </w:pPr>
      <w:r w:rsidRPr="00D044CC">
        <w:rPr>
          <w:rFonts w:ascii="Times New Roman" w:hAnsi="Times New Roman" w:cs="Times New Roman"/>
          <w:sz w:val="24"/>
          <w:szCs w:val="24"/>
          <w:lang w:val="en-US"/>
        </w:rPr>
        <w:t>Fig</w:t>
      </w:r>
      <w:r w:rsidR="00E558B4">
        <w:rPr>
          <w:rFonts w:ascii="Times New Roman" w:hAnsi="Times New Roman" w:cs="Times New Roman"/>
          <w:color w:val="000000"/>
          <w:sz w:val="24"/>
          <w:szCs w:val="24"/>
          <w:shd w:val="clear" w:color="auto" w:fill="FFFFFF"/>
          <w:lang w:val="en-US"/>
        </w:rPr>
        <w:t>ure</w:t>
      </w:r>
      <w:r w:rsidRPr="00D044CC">
        <w:rPr>
          <w:rFonts w:ascii="Times New Roman" w:hAnsi="Times New Roman" w:cs="Times New Roman"/>
          <w:sz w:val="24"/>
          <w:szCs w:val="24"/>
          <w:lang w:val="en-US"/>
        </w:rPr>
        <w:t xml:space="preserve">. 3. </w:t>
      </w:r>
      <w:r w:rsidRPr="00D044CC">
        <w:rPr>
          <w:rFonts w:ascii="Times New Roman" w:hAnsi="Times New Roman" w:cs="Times New Roman"/>
          <w:sz w:val="24"/>
          <w:szCs w:val="24"/>
        </w:rPr>
        <w:t>а</w:t>
      </w:r>
      <w:r w:rsidR="00E558B4" w:rsidRPr="00E558B4">
        <w:rPr>
          <w:rFonts w:ascii="Times New Roman" w:hAnsi="Times New Roman" w:cs="Times New Roman"/>
          <w:sz w:val="24"/>
          <w:szCs w:val="24"/>
          <w:lang w:val="en-US"/>
        </w:rPr>
        <w:t xml:space="preserve"> – Dot plot (bubble heatmap) of marker genes across monocyte clusters.</w:t>
      </w:r>
    </w:p>
    <w:p w14:paraId="7CEA24AD" w14:textId="77777777" w:rsidR="00E558B4" w:rsidRDefault="00E558B4" w:rsidP="00345C28">
      <w:pPr>
        <w:rPr>
          <w:rFonts w:ascii="Times New Roman" w:hAnsi="Times New Roman" w:cs="Times New Roman"/>
          <w:sz w:val="24"/>
          <w:szCs w:val="24"/>
          <w:lang w:val="en-US"/>
        </w:rPr>
      </w:pPr>
      <w:r>
        <w:rPr>
          <w:rFonts w:ascii="Times New Roman" w:hAnsi="Times New Roman" w:cs="Times New Roman"/>
          <w:sz w:val="24"/>
          <w:szCs w:val="24"/>
          <w:lang w:val="en-US"/>
        </w:rPr>
        <w:t xml:space="preserve">Note. </w:t>
      </w:r>
      <w:r w:rsidR="00BC161F" w:rsidRPr="00D044CC">
        <w:rPr>
          <w:rFonts w:ascii="Times New Roman" w:hAnsi="Times New Roman" w:cs="Times New Roman"/>
          <w:sz w:val="24"/>
          <w:szCs w:val="24"/>
          <w:lang w:val="en-US"/>
        </w:rPr>
        <w:t>Dot plot of selected marker genes across different monocyte clusters. Color represents the average expression level, and dot size corresponds to the percentage of cells expressing the gene in each cluster.</w:t>
      </w:r>
    </w:p>
    <w:p w14:paraId="6A7AD276" w14:textId="5330F108" w:rsidR="00D044CC" w:rsidRDefault="00BC161F" w:rsidP="00345C28">
      <w:pPr>
        <w:rPr>
          <w:rFonts w:ascii="Times New Roman" w:hAnsi="Times New Roman" w:cs="Times New Roman"/>
          <w:sz w:val="24"/>
          <w:szCs w:val="24"/>
          <w:lang w:val="en-US"/>
        </w:rPr>
      </w:pPr>
      <w:r w:rsidRPr="00D044CC">
        <w:rPr>
          <w:rFonts w:ascii="Times New Roman" w:hAnsi="Times New Roman" w:cs="Times New Roman"/>
          <w:sz w:val="24"/>
          <w:szCs w:val="24"/>
          <w:lang w:val="en-US"/>
        </w:rPr>
        <w:t xml:space="preserve"> </w:t>
      </w:r>
      <w:proofErr w:type="gramStart"/>
      <w:r w:rsidRPr="00D044CC">
        <w:rPr>
          <w:rFonts w:ascii="Times New Roman" w:hAnsi="Times New Roman" w:cs="Times New Roman"/>
          <w:sz w:val="24"/>
          <w:szCs w:val="24"/>
        </w:rPr>
        <w:t>б</w:t>
      </w:r>
      <w:r w:rsidRPr="00D044CC">
        <w:rPr>
          <w:rFonts w:ascii="Times New Roman" w:hAnsi="Times New Roman" w:cs="Times New Roman"/>
          <w:sz w:val="24"/>
          <w:szCs w:val="24"/>
          <w:lang w:val="en-US"/>
        </w:rPr>
        <w:t xml:space="preserve"> </w:t>
      </w:r>
      <w:r w:rsidR="00E558B4" w:rsidRPr="00E558B4">
        <w:rPr>
          <w:rFonts w:ascii="Times New Roman" w:hAnsi="Times New Roman" w:cs="Times New Roman"/>
          <w:sz w:val="24"/>
          <w:szCs w:val="24"/>
          <w:lang w:val="en-US"/>
        </w:rPr>
        <w:t xml:space="preserve"> –</w:t>
      </w:r>
      <w:proofErr w:type="gramEnd"/>
      <w:r w:rsidR="00E558B4" w:rsidRPr="00E558B4">
        <w:rPr>
          <w:rFonts w:ascii="Times New Roman" w:hAnsi="Times New Roman" w:cs="Times New Roman"/>
          <w:sz w:val="24"/>
          <w:szCs w:val="24"/>
          <w:lang w:val="en-US"/>
        </w:rPr>
        <w:t xml:space="preserve"> </w:t>
      </w:r>
      <w:r w:rsidRPr="00D044CC">
        <w:rPr>
          <w:rFonts w:ascii="Times New Roman" w:hAnsi="Times New Roman" w:cs="Times New Roman"/>
          <w:sz w:val="24"/>
          <w:szCs w:val="24"/>
          <w:lang w:val="en-US"/>
        </w:rPr>
        <w:t xml:space="preserve"> </w:t>
      </w:r>
      <w:proofErr w:type="spellStart"/>
      <w:r w:rsidRPr="00D044CC">
        <w:rPr>
          <w:rFonts w:ascii="Times New Roman" w:hAnsi="Times New Roman" w:cs="Times New Roman"/>
          <w:sz w:val="24"/>
          <w:szCs w:val="24"/>
          <w:lang w:val="en-US"/>
        </w:rPr>
        <w:t>Enrichr</w:t>
      </w:r>
      <w:proofErr w:type="spellEnd"/>
      <w:r w:rsidRPr="00D044CC">
        <w:rPr>
          <w:rFonts w:ascii="Times New Roman" w:hAnsi="Times New Roman" w:cs="Times New Roman"/>
          <w:sz w:val="24"/>
          <w:szCs w:val="24"/>
          <w:lang w:val="en-US"/>
        </w:rPr>
        <w:t xml:space="preserve"> pathway analysis (KEGG and GO Biological Process) of  classical, non-classical, and </w:t>
      </w:r>
      <w:r w:rsidR="00D2200D" w:rsidRPr="00D044CC">
        <w:rPr>
          <w:rFonts w:ascii="Times New Roman" w:hAnsi="Times New Roman" w:cs="Times New Roman"/>
          <w:sz w:val="24"/>
          <w:szCs w:val="24"/>
          <w:lang w:val="en-US"/>
        </w:rPr>
        <w:t xml:space="preserve"> </w:t>
      </w:r>
      <w:r w:rsidRPr="00D044CC">
        <w:rPr>
          <w:rFonts w:ascii="Times New Roman" w:hAnsi="Times New Roman" w:cs="Times New Roman"/>
          <w:sz w:val="24"/>
          <w:szCs w:val="24"/>
          <w:lang w:val="en-US"/>
        </w:rPr>
        <w:t>intermediate monocyte</w:t>
      </w:r>
      <w:r w:rsidR="00D2200D" w:rsidRPr="00D044CC">
        <w:rPr>
          <w:rFonts w:ascii="Times New Roman" w:hAnsi="Times New Roman" w:cs="Times New Roman"/>
          <w:sz w:val="24"/>
          <w:szCs w:val="24"/>
          <w:lang w:val="en-US"/>
        </w:rPr>
        <w:t>s</w:t>
      </w:r>
      <w:r w:rsidRPr="00D044CC">
        <w:rPr>
          <w:rFonts w:ascii="Times New Roman" w:hAnsi="Times New Roman" w:cs="Times New Roman"/>
          <w:sz w:val="24"/>
          <w:szCs w:val="24"/>
          <w:lang w:val="en-US"/>
        </w:rPr>
        <w:t xml:space="preserve"> subpopulations in prostate cancer.</w:t>
      </w:r>
    </w:p>
    <w:p w14:paraId="179B93FB" w14:textId="77777777" w:rsidR="00E558B4" w:rsidRPr="00D044CC" w:rsidRDefault="00E558B4" w:rsidP="00345C28">
      <w:pPr>
        <w:rPr>
          <w:rFonts w:ascii="Times New Roman" w:hAnsi="Times New Roman" w:cs="Times New Roman"/>
          <w:sz w:val="24"/>
          <w:szCs w:val="24"/>
          <w:lang w:val="en-US"/>
        </w:rPr>
      </w:pPr>
    </w:p>
    <w:p w14:paraId="5576DE63" w14:textId="0768642E" w:rsidR="00D044CC" w:rsidRPr="00D044CC" w:rsidRDefault="00D044CC" w:rsidP="00D044CC">
      <w:pPr>
        <w:rPr>
          <w:rFonts w:ascii="Times New Roman" w:hAnsi="Times New Roman" w:cs="Times New Roman"/>
          <w:sz w:val="24"/>
          <w:szCs w:val="24"/>
        </w:rPr>
      </w:pPr>
      <w:bookmarkStart w:id="3" w:name="_Hlk209531446"/>
      <w:r w:rsidRPr="00D044CC">
        <w:rPr>
          <w:rFonts w:ascii="Times New Roman" w:hAnsi="Times New Roman" w:cs="Times New Roman"/>
          <w:sz w:val="24"/>
          <w:szCs w:val="24"/>
        </w:rPr>
        <w:t>Рис</w:t>
      </w:r>
      <w:r w:rsidR="00E558B4">
        <w:rPr>
          <w:rFonts w:ascii="Times New Roman" w:hAnsi="Times New Roman" w:cs="Times New Roman"/>
          <w:sz w:val="24"/>
          <w:szCs w:val="24"/>
        </w:rPr>
        <w:t>унок</w:t>
      </w:r>
      <w:r w:rsidRPr="00D044CC">
        <w:rPr>
          <w:rFonts w:ascii="Times New Roman" w:hAnsi="Times New Roman" w:cs="Times New Roman"/>
          <w:sz w:val="24"/>
          <w:szCs w:val="24"/>
        </w:rPr>
        <w:t xml:space="preserve"> 4. Тепловая карта исходящих и входящих сигнальных путей в кластерах классических, промежуточных и неклассических моноцитов у пациентов с раком простаты. </w:t>
      </w:r>
    </w:p>
    <w:bookmarkEnd w:id="3"/>
    <w:p w14:paraId="4C3E64CA" w14:textId="4AD7DA81" w:rsidR="00D044CC" w:rsidRPr="00D044CC" w:rsidRDefault="00D044CC" w:rsidP="00D044CC">
      <w:pPr>
        <w:rPr>
          <w:rFonts w:ascii="Times New Roman" w:hAnsi="Times New Roman" w:cs="Times New Roman"/>
          <w:sz w:val="24"/>
          <w:szCs w:val="24"/>
          <w:lang w:val="en-US"/>
        </w:rPr>
      </w:pPr>
      <w:r w:rsidRPr="00D044CC">
        <w:rPr>
          <w:rFonts w:ascii="Times New Roman" w:hAnsi="Times New Roman" w:cs="Times New Roman"/>
          <w:sz w:val="24"/>
          <w:szCs w:val="24"/>
          <w:lang w:val="en-US"/>
        </w:rPr>
        <w:t>Fig</w:t>
      </w:r>
      <w:r w:rsidR="00E558B4">
        <w:rPr>
          <w:rFonts w:ascii="Times New Roman" w:hAnsi="Times New Roman" w:cs="Times New Roman"/>
          <w:color w:val="000000"/>
          <w:sz w:val="24"/>
          <w:szCs w:val="24"/>
          <w:shd w:val="clear" w:color="auto" w:fill="FFFFFF"/>
          <w:lang w:val="en-US"/>
        </w:rPr>
        <w:t>ure</w:t>
      </w:r>
      <w:r w:rsidRPr="00D044CC">
        <w:rPr>
          <w:rFonts w:ascii="Times New Roman" w:hAnsi="Times New Roman" w:cs="Times New Roman"/>
          <w:sz w:val="24"/>
          <w:szCs w:val="24"/>
          <w:lang w:val="en-US"/>
        </w:rPr>
        <w:t xml:space="preserve"> 4. Heatmap of outgoing and incoming signaling pathways in clusters of classical, intermediate, and non-classical monocytes in patients with prostate cancer.</w:t>
      </w:r>
    </w:p>
    <w:p w14:paraId="7BBB2492" w14:textId="77777777" w:rsidR="00D044CC" w:rsidRPr="00BC161F" w:rsidRDefault="00D044CC" w:rsidP="00345C28">
      <w:pPr>
        <w:rPr>
          <w:rFonts w:ascii="Times New Roman" w:hAnsi="Times New Roman" w:cs="Times New Roman"/>
          <w:sz w:val="18"/>
          <w:szCs w:val="18"/>
          <w:lang w:val="en-US"/>
        </w:rPr>
      </w:pPr>
    </w:p>
    <w:p w14:paraId="4CBB883E" w14:textId="10B4E6D4" w:rsidR="007E05BA" w:rsidRPr="00BC161F" w:rsidRDefault="007E05BA" w:rsidP="00345C28">
      <w:pPr>
        <w:rPr>
          <w:lang w:val="en-US"/>
        </w:rPr>
      </w:pPr>
    </w:p>
    <w:sectPr w:rsidR="007E05BA" w:rsidRPr="00BC16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597"/>
    <w:rsid w:val="00013C8C"/>
    <w:rsid w:val="000C3A2D"/>
    <w:rsid w:val="00345C28"/>
    <w:rsid w:val="003E29C9"/>
    <w:rsid w:val="004E7597"/>
    <w:rsid w:val="00601886"/>
    <w:rsid w:val="006E5950"/>
    <w:rsid w:val="007E05BA"/>
    <w:rsid w:val="00BC161F"/>
    <w:rsid w:val="00D044CC"/>
    <w:rsid w:val="00D2200D"/>
    <w:rsid w:val="00E55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7894"/>
  <w15:chartTrackingRefBased/>
  <w15:docId w15:val="{C95761BC-BF76-41F2-9553-4FDCED57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306</Words>
  <Characters>1747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Шарифьянова Юлия Вакилевна</dc:creator>
  <cp:keywords/>
  <dc:description/>
  <cp:lastModifiedBy>Шарифьянова Юлия Вакилевна</cp:lastModifiedBy>
  <cp:revision>12</cp:revision>
  <dcterms:created xsi:type="dcterms:W3CDTF">2025-08-08T10:52:00Z</dcterms:created>
  <dcterms:modified xsi:type="dcterms:W3CDTF">2025-09-23T09:52:00Z</dcterms:modified>
</cp:coreProperties>
</file>